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8365" w14:textId="70B51B7E" w:rsidR="00B11CD6" w:rsidRPr="002844B7" w:rsidRDefault="002A4E75" w:rsidP="00B377A6">
      <w:pPr>
        <w:rPr>
          <w:b/>
          <w:bCs/>
        </w:rPr>
      </w:pPr>
      <w:r w:rsidRPr="002844B7">
        <w:rPr>
          <w:b/>
          <w:bCs/>
        </w:rPr>
        <w:t>Obec</w:t>
      </w:r>
      <w:r w:rsidR="005F441B">
        <w:rPr>
          <w:b/>
          <w:bCs/>
        </w:rPr>
        <w:t>ní úřad</w:t>
      </w:r>
      <w:r w:rsidRPr="002844B7">
        <w:rPr>
          <w:b/>
          <w:bCs/>
        </w:rPr>
        <w:t xml:space="preserve"> Statenice</w:t>
      </w:r>
    </w:p>
    <w:p w14:paraId="36AFA4E8" w14:textId="361B89AD" w:rsidR="002A4E75" w:rsidRDefault="007F60F0" w:rsidP="00B377A6">
      <w:r>
        <w:t>Statenická 23</w:t>
      </w:r>
    </w:p>
    <w:p w14:paraId="3352AEF0" w14:textId="2A80D83A" w:rsidR="002A4E75" w:rsidRDefault="007F60F0" w:rsidP="00B377A6">
      <w:r>
        <w:t>252 62 Statenice</w:t>
      </w:r>
    </w:p>
    <w:p w14:paraId="62BD6E63" w14:textId="12AC88DE" w:rsidR="002A4E75" w:rsidRPr="00E9565F" w:rsidRDefault="00D90349" w:rsidP="006B79F7">
      <w:pPr>
        <w:spacing w:before="600"/>
        <w:jc w:val="center"/>
        <w:rPr>
          <w:b/>
          <w:bCs/>
        </w:rPr>
      </w:pPr>
      <w:r w:rsidRPr="00E9565F">
        <w:rPr>
          <w:b/>
          <w:bCs/>
        </w:rPr>
        <w:t xml:space="preserve">Vnitřní směrnice č. </w:t>
      </w:r>
      <w:r w:rsidR="0090050B">
        <w:rPr>
          <w:b/>
          <w:bCs/>
        </w:rPr>
        <w:t>02</w:t>
      </w:r>
      <w:r w:rsidRPr="00E9565F">
        <w:rPr>
          <w:b/>
          <w:bCs/>
        </w:rPr>
        <w:t>/2020</w:t>
      </w:r>
    </w:p>
    <w:p w14:paraId="71C723E5" w14:textId="7158DFE3" w:rsidR="00B02D6F" w:rsidRDefault="00D90349" w:rsidP="006B79F7">
      <w:pPr>
        <w:spacing w:after="600"/>
        <w:jc w:val="center"/>
      </w:pPr>
      <w:r>
        <w:t xml:space="preserve">o postupu při </w:t>
      </w:r>
      <w:r w:rsidR="00E02784">
        <w:t>zvyšování včas nezaplacených nebo neodvedených</w:t>
      </w:r>
      <w:r>
        <w:t xml:space="preserve"> </w:t>
      </w:r>
      <w:r w:rsidR="00E02784">
        <w:t>místních poplatků</w:t>
      </w:r>
    </w:p>
    <w:p w14:paraId="0F50383E" w14:textId="1625207B" w:rsidR="00B02D6F" w:rsidRPr="00435951" w:rsidRDefault="00B02D6F" w:rsidP="00A17CCB">
      <w:pPr>
        <w:pStyle w:val="Odstavecseseznamem"/>
        <w:keepNext/>
        <w:numPr>
          <w:ilvl w:val="0"/>
          <w:numId w:val="2"/>
        </w:numPr>
        <w:spacing w:before="240" w:after="120"/>
        <w:ind w:left="284" w:hanging="284"/>
        <w:contextualSpacing w:val="0"/>
        <w:rPr>
          <w:b/>
          <w:bCs/>
        </w:rPr>
      </w:pPr>
      <w:r w:rsidRPr="00435951">
        <w:rPr>
          <w:b/>
          <w:bCs/>
        </w:rPr>
        <w:t>Předmět úpravy</w:t>
      </w:r>
    </w:p>
    <w:p w14:paraId="49681D8D" w14:textId="739AFBD9" w:rsidR="00F70B63" w:rsidRDefault="00425D4D" w:rsidP="0098224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 xml:space="preserve">Tato směrnice upravuje </w:t>
      </w:r>
      <w:r w:rsidR="000F1680">
        <w:t>způsob zvyšování místních poplatků</w:t>
      </w:r>
      <w:r w:rsidR="001777F4">
        <w:t xml:space="preserve"> podle § 11 odst. 3 zákona č.</w:t>
      </w:r>
      <w:r w:rsidR="00846B13">
        <w:t> </w:t>
      </w:r>
      <w:r w:rsidR="001777F4">
        <w:t>565/1990 Sb., o místních poplatcích,</w:t>
      </w:r>
      <w:r w:rsidR="000F1680">
        <w:t xml:space="preserve"> v případě, že je</w:t>
      </w:r>
      <w:r w:rsidR="001777F4">
        <w:t xml:space="preserve"> poplatník</w:t>
      </w:r>
      <w:r w:rsidR="0031490A">
        <w:t xml:space="preserve"> nebo plátce</w:t>
      </w:r>
      <w:r w:rsidR="001777F4">
        <w:t xml:space="preserve"> nezaplatil či neodvedl včas.</w:t>
      </w:r>
    </w:p>
    <w:p w14:paraId="225EEAA1" w14:textId="0B0CD908" w:rsidR="0009236B" w:rsidRDefault="006756DC" w:rsidP="0098224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 xml:space="preserve">Tato směrnice se nepoužije v případě, že </w:t>
      </w:r>
      <w:r w:rsidR="002F0970">
        <w:t>poplatník</w:t>
      </w:r>
      <w:r w:rsidR="00E61C46">
        <w:t xml:space="preserve"> nebo plátce</w:t>
      </w:r>
      <w:r w:rsidR="002F0970">
        <w:t xml:space="preserve"> prokáže </w:t>
      </w:r>
      <w:r w:rsidR="0031490A">
        <w:t>důvody, pro něž poplate</w:t>
      </w:r>
      <w:r w:rsidR="00576AA7">
        <w:t xml:space="preserve">k nezaplatil či neodvedl včas a </w:t>
      </w:r>
      <w:r w:rsidR="00684C77">
        <w:t xml:space="preserve">pro něž by bylo </w:t>
      </w:r>
      <w:r w:rsidR="00141753">
        <w:t xml:space="preserve">zvýšení poplatku v daném případě </w:t>
      </w:r>
      <w:r w:rsidR="00165342">
        <w:t>nepřiměřené.</w:t>
      </w:r>
    </w:p>
    <w:p w14:paraId="0FB6ABC3" w14:textId="091FF33E" w:rsidR="008773F2" w:rsidRPr="00435951" w:rsidRDefault="008773F2" w:rsidP="00A17CCB">
      <w:pPr>
        <w:pStyle w:val="Odstavecseseznamem"/>
        <w:keepNext/>
        <w:numPr>
          <w:ilvl w:val="0"/>
          <w:numId w:val="2"/>
        </w:numPr>
        <w:spacing w:before="240" w:after="120"/>
        <w:ind w:left="284" w:hanging="284"/>
        <w:contextualSpacing w:val="0"/>
        <w:rPr>
          <w:b/>
          <w:bCs/>
        </w:rPr>
      </w:pPr>
      <w:r w:rsidRPr="00435951">
        <w:rPr>
          <w:b/>
          <w:bCs/>
        </w:rPr>
        <w:t xml:space="preserve">Navýšení </w:t>
      </w:r>
      <w:r w:rsidRPr="0020661D">
        <w:rPr>
          <w:b/>
          <w:bCs/>
        </w:rPr>
        <w:t>poplatku</w:t>
      </w:r>
      <w:r w:rsidR="0020661D" w:rsidRPr="0020661D">
        <w:rPr>
          <w:b/>
          <w:bCs/>
        </w:rPr>
        <w:t xml:space="preserve"> za provoz systému shromažďování, sběru, přepravy, třídění, vy</w:t>
      </w:r>
      <w:r w:rsidR="0020661D" w:rsidRPr="0020661D">
        <w:rPr>
          <w:b/>
          <w:bCs/>
        </w:rPr>
        <w:t>u</w:t>
      </w:r>
      <w:r w:rsidR="0020661D" w:rsidRPr="0020661D">
        <w:rPr>
          <w:b/>
          <w:bCs/>
        </w:rPr>
        <w:t>žívání a odstraňování komunálních odpadů</w:t>
      </w:r>
    </w:p>
    <w:p w14:paraId="0535BFA5" w14:textId="4EBDA5A1" w:rsidR="00526240" w:rsidRPr="00EF3AB8" w:rsidRDefault="009758EC" w:rsidP="007A04ED">
      <w:pPr>
        <w:pStyle w:val="Odstavecseseznamem"/>
        <w:numPr>
          <w:ilvl w:val="1"/>
          <w:numId w:val="2"/>
        </w:numPr>
        <w:tabs>
          <w:tab w:val="left" w:pos="1335"/>
        </w:tabs>
        <w:spacing w:after="120"/>
        <w:ind w:left="454" w:hanging="454"/>
        <w:contextualSpacing w:val="0"/>
      </w:pPr>
      <w:r w:rsidRPr="00EF3AB8">
        <w:t>V případě, že poplatník nezaplatí p</w:t>
      </w:r>
      <w:r w:rsidR="00932494" w:rsidRPr="00EF3AB8">
        <w:t xml:space="preserve">oplatek za provoz systému </w:t>
      </w:r>
      <w:r w:rsidR="00B67EDB" w:rsidRPr="00EF3AB8">
        <w:t>shromažďování</w:t>
      </w:r>
      <w:r w:rsidR="00932494" w:rsidRPr="00EF3AB8">
        <w:t xml:space="preserve">, </w:t>
      </w:r>
      <w:r w:rsidR="004B52B5" w:rsidRPr="00EF3AB8">
        <w:t>sběru</w:t>
      </w:r>
      <w:r w:rsidR="00932494" w:rsidRPr="00EF3AB8">
        <w:t xml:space="preserve">, </w:t>
      </w:r>
      <w:r w:rsidR="004B52B5" w:rsidRPr="00EF3AB8">
        <w:t>přepravy</w:t>
      </w:r>
      <w:r w:rsidR="00932494" w:rsidRPr="00EF3AB8">
        <w:t xml:space="preserve">, </w:t>
      </w:r>
      <w:r w:rsidR="004B52B5" w:rsidRPr="00EF3AB8">
        <w:t>třídění</w:t>
      </w:r>
      <w:r w:rsidR="00932494" w:rsidRPr="00EF3AB8">
        <w:t xml:space="preserve">, </w:t>
      </w:r>
      <w:r w:rsidR="004B52B5" w:rsidRPr="00EF3AB8">
        <w:t>využívání</w:t>
      </w:r>
      <w:r w:rsidR="00932494" w:rsidRPr="00EF3AB8">
        <w:t xml:space="preserve"> </w:t>
      </w:r>
      <w:r w:rsidR="00F56181" w:rsidRPr="00EF3AB8">
        <w:t>a odstraňování komunálních odpadů</w:t>
      </w:r>
      <w:r w:rsidR="00AF4B86" w:rsidRPr="00EF3AB8">
        <w:t xml:space="preserve"> do </w:t>
      </w:r>
      <w:r w:rsidR="00EF3AB8" w:rsidRPr="00EF3AB8">
        <w:t>dvou</w:t>
      </w:r>
      <w:r w:rsidR="00AF4B86" w:rsidRPr="00EF3AB8">
        <w:t xml:space="preserve"> měsíc</w:t>
      </w:r>
      <w:r w:rsidR="00EF3AB8" w:rsidRPr="00EF3AB8">
        <w:t>ů</w:t>
      </w:r>
      <w:r w:rsidR="00AF4B86" w:rsidRPr="00EF3AB8">
        <w:t xml:space="preserve"> od okamžiku jeho splatnosti</w:t>
      </w:r>
      <w:r w:rsidR="00A9285F" w:rsidRPr="00EF3AB8">
        <w:t xml:space="preserve">, </w:t>
      </w:r>
      <w:r w:rsidR="00E70F56" w:rsidRPr="00EF3AB8">
        <w:t>bude mu poplatek zvýšen o 50 %</w:t>
      </w:r>
      <w:r w:rsidR="00526240" w:rsidRPr="00EF3AB8">
        <w:t>.</w:t>
      </w:r>
      <w:r w:rsidR="0090050B" w:rsidRPr="00EF3AB8">
        <w:t xml:space="preserve"> </w:t>
      </w:r>
    </w:p>
    <w:p w14:paraId="15953FE3" w14:textId="5B1CB06D" w:rsidR="00932494" w:rsidRDefault="00526240" w:rsidP="007A04ED">
      <w:pPr>
        <w:pStyle w:val="Odstavecseseznamem"/>
        <w:numPr>
          <w:ilvl w:val="1"/>
          <w:numId w:val="2"/>
        </w:numPr>
        <w:tabs>
          <w:tab w:val="left" w:pos="1335"/>
        </w:tabs>
        <w:spacing w:after="120"/>
        <w:ind w:left="454" w:hanging="454"/>
        <w:contextualSpacing w:val="0"/>
      </w:pPr>
      <w:r>
        <w:t>Nezaplatí-li poplatník poplatek podle odst. 2.1 ani do</w:t>
      </w:r>
      <w:r w:rsidR="008A3E03">
        <w:t xml:space="preserve"> </w:t>
      </w:r>
      <w:r w:rsidR="00752522">
        <w:t>pěti</w:t>
      </w:r>
      <w:r w:rsidR="008A3E03">
        <w:t xml:space="preserve"> měsíců od okamžiku jeho splatnosti, </w:t>
      </w:r>
      <w:r w:rsidR="005D2707">
        <w:t>bude mu zvýšen o 100 %.</w:t>
      </w:r>
      <w:r w:rsidR="0090050B">
        <w:t xml:space="preserve"> </w:t>
      </w:r>
    </w:p>
    <w:p w14:paraId="475203D6" w14:textId="09B5DBAD" w:rsidR="007C1A0F" w:rsidRPr="00EF3AB8" w:rsidRDefault="007C1A0F" w:rsidP="00A17CCB">
      <w:pPr>
        <w:pStyle w:val="Odstavecseseznamem"/>
        <w:keepNext/>
        <w:numPr>
          <w:ilvl w:val="0"/>
          <w:numId w:val="2"/>
        </w:numPr>
        <w:spacing w:before="240" w:after="120"/>
        <w:ind w:left="284" w:hanging="284"/>
        <w:contextualSpacing w:val="0"/>
        <w:rPr>
          <w:b/>
          <w:bCs/>
        </w:rPr>
      </w:pPr>
      <w:r w:rsidRPr="00EF3AB8">
        <w:rPr>
          <w:b/>
          <w:bCs/>
        </w:rPr>
        <w:t>Poplatek</w:t>
      </w:r>
      <w:r w:rsidR="003A2CFB" w:rsidRPr="00EF3AB8">
        <w:rPr>
          <w:b/>
          <w:bCs/>
        </w:rPr>
        <w:t xml:space="preserve"> ze psů</w:t>
      </w:r>
    </w:p>
    <w:p w14:paraId="510B0690" w14:textId="145B5278" w:rsidR="00C757DC" w:rsidRPr="00EF3AB8" w:rsidRDefault="00C757DC" w:rsidP="0090050B">
      <w:pPr>
        <w:pStyle w:val="Odstavecseseznamem"/>
        <w:numPr>
          <w:ilvl w:val="1"/>
          <w:numId w:val="2"/>
        </w:numPr>
        <w:tabs>
          <w:tab w:val="left" w:pos="1335"/>
        </w:tabs>
        <w:spacing w:after="120"/>
        <w:ind w:left="454" w:hanging="454"/>
        <w:contextualSpacing w:val="0"/>
      </w:pPr>
      <w:r w:rsidRPr="00EF3AB8">
        <w:t xml:space="preserve">V případě, že poplatník nezaplatí poplatek </w:t>
      </w:r>
      <w:r w:rsidR="00043639" w:rsidRPr="00EF3AB8">
        <w:t>ze psů</w:t>
      </w:r>
      <w:r w:rsidR="00D10422" w:rsidRPr="00EF3AB8">
        <w:t xml:space="preserve"> do </w:t>
      </w:r>
      <w:r w:rsidR="00EF3AB8" w:rsidRPr="00EF3AB8">
        <w:t>dvou</w:t>
      </w:r>
      <w:r w:rsidR="00D10422" w:rsidRPr="00EF3AB8">
        <w:t xml:space="preserve"> měsíc</w:t>
      </w:r>
      <w:r w:rsidR="00EF3AB8" w:rsidRPr="00EF3AB8">
        <w:t>ů</w:t>
      </w:r>
      <w:r w:rsidR="00D10422" w:rsidRPr="00EF3AB8">
        <w:t xml:space="preserve"> od okamžiku jeho splatnosti</w:t>
      </w:r>
      <w:r w:rsidRPr="00EF3AB8">
        <w:t>, bude mu poplatek zvýšen o 50 %.</w:t>
      </w:r>
      <w:r w:rsidR="0090050B" w:rsidRPr="00EF3AB8">
        <w:t xml:space="preserve"> </w:t>
      </w:r>
    </w:p>
    <w:p w14:paraId="2F079602" w14:textId="0E778057" w:rsidR="00C757DC" w:rsidRDefault="00C757DC" w:rsidP="00C757DC">
      <w:pPr>
        <w:pStyle w:val="Odstavecseseznamem"/>
        <w:numPr>
          <w:ilvl w:val="1"/>
          <w:numId w:val="2"/>
        </w:numPr>
        <w:tabs>
          <w:tab w:val="left" w:pos="1335"/>
        </w:tabs>
        <w:spacing w:after="120"/>
        <w:ind w:left="454" w:hanging="454"/>
        <w:contextualSpacing w:val="0"/>
      </w:pPr>
      <w:r>
        <w:t xml:space="preserve">Nezaplatí-li poplatník poplatek podle odst. </w:t>
      </w:r>
      <w:r w:rsidR="008260CA">
        <w:t>3</w:t>
      </w:r>
      <w:r>
        <w:t xml:space="preserve">.1 ani </w:t>
      </w:r>
      <w:r w:rsidR="009B7BD8">
        <w:t xml:space="preserve">do </w:t>
      </w:r>
      <w:r w:rsidR="00B34D7B">
        <w:t>pěti</w:t>
      </w:r>
      <w:r w:rsidR="004F1A7C">
        <w:t xml:space="preserve"> měsíců od okamžiku jeho splatnosti</w:t>
      </w:r>
      <w:r>
        <w:t>, bude mu zvýšen o 100 %.</w:t>
      </w:r>
      <w:r w:rsidR="0090050B">
        <w:t xml:space="preserve"> </w:t>
      </w:r>
    </w:p>
    <w:p w14:paraId="727192FE" w14:textId="6162803F" w:rsidR="00034783" w:rsidRDefault="00736FF9" w:rsidP="00A17CCB">
      <w:pPr>
        <w:pStyle w:val="Odstavecseseznamem"/>
        <w:keepNext/>
        <w:numPr>
          <w:ilvl w:val="0"/>
          <w:numId w:val="2"/>
        </w:numPr>
        <w:spacing w:before="240" w:after="120"/>
        <w:ind w:left="284" w:hanging="284"/>
        <w:contextualSpacing w:val="0"/>
        <w:rPr>
          <w:b/>
          <w:bCs/>
        </w:rPr>
      </w:pPr>
      <w:r>
        <w:rPr>
          <w:b/>
          <w:bCs/>
        </w:rPr>
        <w:t>Poplatek z pobytu</w:t>
      </w:r>
    </w:p>
    <w:p w14:paraId="00B3CF39" w14:textId="161BD942" w:rsidR="004C144A" w:rsidRDefault="009235FD" w:rsidP="00935FF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>V</w:t>
      </w:r>
      <w:r w:rsidR="00150792">
        <w:t> případě, že plátce neodvede včas poplatek z</w:t>
      </w:r>
      <w:r w:rsidR="00BD3E25">
        <w:t> </w:t>
      </w:r>
      <w:r w:rsidR="00150792">
        <w:t>pobytu</w:t>
      </w:r>
      <w:r w:rsidR="00BD3E25">
        <w:t xml:space="preserve"> do 15 dnů od okamžiku jeho spla</w:t>
      </w:r>
      <w:r w:rsidR="00BD3E25">
        <w:t>t</w:t>
      </w:r>
      <w:r w:rsidR="00BD3E25">
        <w:t>nosti</w:t>
      </w:r>
      <w:r w:rsidR="00150792">
        <w:t xml:space="preserve">, bude poplatek </w:t>
      </w:r>
      <w:r w:rsidR="00925057">
        <w:t>z</w:t>
      </w:r>
      <w:r w:rsidR="00150792">
        <w:t xml:space="preserve">výšen o </w:t>
      </w:r>
      <w:r w:rsidR="00BF1AD5">
        <w:t>50</w:t>
      </w:r>
      <w:r w:rsidR="006E1306">
        <w:t xml:space="preserve"> %</w:t>
      </w:r>
      <w:r w:rsidR="009B7BD8">
        <w:t>.</w:t>
      </w:r>
    </w:p>
    <w:p w14:paraId="72B4A61E" w14:textId="2208B03A" w:rsidR="009B7BD8" w:rsidRDefault="009B7BD8" w:rsidP="00935FF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>Neodvede-li plátce poplatek podle odst. 4.1 ani do</w:t>
      </w:r>
      <w:r w:rsidR="006B1443">
        <w:t xml:space="preserve"> 30 dnů od okamžiku jeho splatnosti, bude poplatek zvýšen o </w:t>
      </w:r>
      <w:r w:rsidR="00BF1AD5">
        <w:t>100</w:t>
      </w:r>
      <w:r w:rsidR="006B1443">
        <w:t xml:space="preserve"> %.</w:t>
      </w:r>
    </w:p>
    <w:p w14:paraId="542E6A35" w14:textId="6587ABCA" w:rsidR="004C144A" w:rsidRPr="004C144A" w:rsidRDefault="00F54ECA" w:rsidP="00A17CCB">
      <w:pPr>
        <w:pStyle w:val="Odstavecseseznamem"/>
        <w:keepNext/>
        <w:numPr>
          <w:ilvl w:val="0"/>
          <w:numId w:val="2"/>
        </w:numPr>
        <w:spacing w:before="240" w:after="120"/>
        <w:ind w:left="284" w:hanging="284"/>
        <w:contextualSpacing w:val="0"/>
        <w:rPr>
          <w:b/>
          <w:bCs/>
        </w:rPr>
      </w:pPr>
      <w:r>
        <w:rPr>
          <w:b/>
          <w:bCs/>
        </w:rPr>
        <w:t>Poplatek ze vstupného</w:t>
      </w:r>
    </w:p>
    <w:p w14:paraId="7BE4C2BB" w14:textId="4E0135FD" w:rsidR="004C144A" w:rsidRDefault="003E6C68" w:rsidP="00935FF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 xml:space="preserve">V případě, že poplatník nezaplatí poplatek ze </w:t>
      </w:r>
      <w:r w:rsidR="007F7E69">
        <w:t>v</w:t>
      </w:r>
      <w:r>
        <w:t>stupného</w:t>
      </w:r>
      <w:r w:rsidR="008C1203">
        <w:t xml:space="preserve"> do 15 dnů od okamžiku jeho splatnosti</w:t>
      </w:r>
      <w:r>
        <w:t xml:space="preserve">, </w:t>
      </w:r>
      <w:r w:rsidR="00590370">
        <w:t>bude mu poplatek zvýšen o</w:t>
      </w:r>
      <w:r w:rsidR="002B6FED">
        <w:t> </w:t>
      </w:r>
      <w:r w:rsidR="006515B3">
        <w:t>50</w:t>
      </w:r>
      <w:r w:rsidR="00211558">
        <w:t> </w:t>
      </w:r>
      <w:r w:rsidR="006515B3">
        <w:t>%.</w:t>
      </w:r>
    </w:p>
    <w:p w14:paraId="610D4355" w14:textId="387C49E5" w:rsidR="00C0268D" w:rsidRDefault="00C0268D" w:rsidP="00935FF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lastRenderedPageBreak/>
        <w:t xml:space="preserve">Nezaplatí-li poplatník poplatek podle odst. 5.1 ani do </w:t>
      </w:r>
      <w:r w:rsidR="00F80C9F">
        <w:t>30 dnů od okamžiku jeho splatno</w:t>
      </w:r>
      <w:r w:rsidR="00F80C9F">
        <w:t>s</w:t>
      </w:r>
      <w:r w:rsidR="00F80C9F">
        <w:t>ti, bude mu zvýšen o 100 %.</w:t>
      </w:r>
    </w:p>
    <w:p w14:paraId="783D8A40" w14:textId="15392C14" w:rsidR="004C144A" w:rsidRPr="004C144A" w:rsidRDefault="00F36145" w:rsidP="00A17CCB">
      <w:pPr>
        <w:pStyle w:val="Odstavecseseznamem"/>
        <w:keepNext/>
        <w:numPr>
          <w:ilvl w:val="0"/>
          <w:numId w:val="2"/>
        </w:numPr>
        <w:spacing w:before="240" w:after="120"/>
        <w:ind w:left="284" w:hanging="284"/>
        <w:contextualSpacing w:val="0"/>
        <w:rPr>
          <w:b/>
          <w:bCs/>
        </w:rPr>
      </w:pPr>
      <w:r>
        <w:rPr>
          <w:b/>
          <w:bCs/>
        </w:rPr>
        <w:t>Poplatek za užívání veřejného prostranství</w:t>
      </w:r>
    </w:p>
    <w:p w14:paraId="32E005BC" w14:textId="53A321C5" w:rsidR="00034783" w:rsidRDefault="00030D6F" w:rsidP="00935FF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 xml:space="preserve">V případě, že poplatník nezaplatí poplatek </w:t>
      </w:r>
      <w:r w:rsidR="00987A99">
        <w:t>za užívání veřejného prostranství</w:t>
      </w:r>
      <w:r w:rsidR="00E24E7E">
        <w:t xml:space="preserve"> do 15 dnů od jeho splatnosti</w:t>
      </w:r>
      <w:r w:rsidR="00987A99">
        <w:t xml:space="preserve">, bude mu poplatek zvýšen o </w:t>
      </w:r>
      <w:r w:rsidR="00E151FF">
        <w:t>50</w:t>
      </w:r>
      <w:r w:rsidR="00892B89">
        <w:t xml:space="preserve"> %.</w:t>
      </w:r>
    </w:p>
    <w:p w14:paraId="4E7B10B1" w14:textId="390EA64B" w:rsidR="001D3F1C" w:rsidRPr="00935FF2" w:rsidRDefault="001D3F1C" w:rsidP="00935FF2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 xml:space="preserve">Nezaplatí-li poplatník poplatek podle odst. 6.1 ani do </w:t>
      </w:r>
      <w:r w:rsidR="00471D51">
        <w:t>30 dnů</w:t>
      </w:r>
      <w:r w:rsidR="007122E8">
        <w:t xml:space="preserve"> od okamžiku jeho splatno</w:t>
      </w:r>
      <w:r w:rsidR="007122E8">
        <w:t>s</w:t>
      </w:r>
      <w:r w:rsidR="007122E8">
        <w:t xml:space="preserve">ti, bude mu zvýšen o </w:t>
      </w:r>
      <w:r w:rsidR="00280164">
        <w:t>100</w:t>
      </w:r>
      <w:r w:rsidR="00D161C4">
        <w:t xml:space="preserve"> %.</w:t>
      </w:r>
    </w:p>
    <w:p w14:paraId="575DC948" w14:textId="2C547465" w:rsidR="00416994" w:rsidRPr="00435951" w:rsidRDefault="00370B76" w:rsidP="00A17CCB">
      <w:pPr>
        <w:pStyle w:val="Odstavecseseznamem"/>
        <w:keepNext/>
        <w:numPr>
          <w:ilvl w:val="0"/>
          <w:numId w:val="2"/>
        </w:numPr>
        <w:spacing w:before="240" w:after="120"/>
        <w:ind w:left="284" w:hanging="284"/>
        <w:contextualSpacing w:val="0"/>
        <w:rPr>
          <w:b/>
          <w:bCs/>
        </w:rPr>
      </w:pPr>
      <w:r w:rsidRPr="00435951">
        <w:rPr>
          <w:b/>
          <w:bCs/>
        </w:rPr>
        <w:t>Závěrečná ustanovení</w:t>
      </w:r>
    </w:p>
    <w:p w14:paraId="17C8A5EF" w14:textId="56D90C9E" w:rsidR="00370B76" w:rsidRDefault="00370B76" w:rsidP="002F5FAE">
      <w:pPr>
        <w:pStyle w:val="Odstavecseseznamem"/>
        <w:numPr>
          <w:ilvl w:val="1"/>
          <w:numId w:val="2"/>
        </w:numPr>
        <w:spacing w:after="120"/>
        <w:ind w:left="454" w:hanging="454"/>
        <w:contextualSpacing w:val="0"/>
      </w:pPr>
      <w:r>
        <w:t xml:space="preserve">Tato směrnice nabývá účinnosti </w:t>
      </w:r>
      <w:r w:rsidR="00EF3AB8">
        <w:t>1</w:t>
      </w:r>
      <w:r>
        <w:t xml:space="preserve">1. </w:t>
      </w:r>
      <w:r w:rsidR="00EF3AB8">
        <w:t>5</w:t>
      </w:r>
      <w:r>
        <w:t>. 2020.</w:t>
      </w:r>
    </w:p>
    <w:p w14:paraId="112F2027" w14:textId="104A6860" w:rsidR="00EB702F" w:rsidRDefault="00EB702F" w:rsidP="00F70B63"/>
    <w:p w14:paraId="1192E40C" w14:textId="77777777" w:rsidR="00647BA1" w:rsidRDefault="00647BA1" w:rsidP="00F70B63"/>
    <w:p w14:paraId="1FF84601" w14:textId="12A26391" w:rsidR="007E2AF4" w:rsidRDefault="007E2AF4" w:rsidP="00F70B6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7E2AF4" w14:paraId="093E2996" w14:textId="77777777" w:rsidTr="009670B1">
        <w:tc>
          <w:tcPr>
            <w:tcW w:w="5670" w:type="dxa"/>
            <w:vAlign w:val="center"/>
          </w:tcPr>
          <w:p w14:paraId="5FC5FF2F" w14:textId="77777777" w:rsidR="007E2AF4" w:rsidRDefault="00E2237B" w:rsidP="00052E83">
            <w:pPr>
              <w:jc w:val="left"/>
            </w:pPr>
            <w:r>
              <w:t>Ve S</w:t>
            </w:r>
            <w:r w:rsidR="00052E83">
              <w:t>tatenic</w:t>
            </w:r>
            <w:r>
              <w:t>ích</w:t>
            </w:r>
            <w:r w:rsidR="00052E83">
              <w:t xml:space="preserve"> dne </w:t>
            </w:r>
            <w:proofErr w:type="gramStart"/>
            <w:r w:rsidR="0090050B">
              <w:t>11.5.2020</w:t>
            </w:r>
            <w:proofErr w:type="gramEnd"/>
          </w:p>
          <w:p w14:paraId="49DB9C98" w14:textId="77777777" w:rsidR="00EF3AB8" w:rsidRDefault="00EF3AB8" w:rsidP="00052E83">
            <w:pPr>
              <w:jc w:val="left"/>
            </w:pPr>
          </w:p>
          <w:p w14:paraId="091349FD" w14:textId="77777777" w:rsidR="00EF3AB8" w:rsidRDefault="00EF3AB8" w:rsidP="00052E83">
            <w:pPr>
              <w:jc w:val="left"/>
            </w:pPr>
          </w:p>
          <w:p w14:paraId="440A2F6C" w14:textId="77777777" w:rsidR="00EF3AB8" w:rsidRDefault="00EF3AB8" w:rsidP="00052E83">
            <w:pPr>
              <w:jc w:val="left"/>
            </w:pPr>
          </w:p>
          <w:p w14:paraId="55CA2B22" w14:textId="77777777" w:rsidR="00EF3AB8" w:rsidRDefault="00EF3AB8" w:rsidP="00052E83">
            <w:pPr>
              <w:jc w:val="left"/>
            </w:pPr>
          </w:p>
          <w:p w14:paraId="47E59C94" w14:textId="77777777" w:rsidR="00EF3AB8" w:rsidRDefault="00EF3AB8" w:rsidP="00052E83">
            <w:pPr>
              <w:jc w:val="left"/>
            </w:pPr>
          </w:p>
          <w:p w14:paraId="4EB4C2D1" w14:textId="77777777" w:rsidR="00EF3AB8" w:rsidRDefault="00EF3AB8" w:rsidP="00052E83">
            <w:pPr>
              <w:jc w:val="left"/>
            </w:pPr>
          </w:p>
          <w:p w14:paraId="28A758CC" w14:textId="449B85CC" w:rsidR="00EF3AB8" w:rsidRDefault="00EF3AB8" w:rsidP="00052E83">
            <w:pPr>
              <w:jc w:val="left"/>
            </w:pPr>
            <w:bookmarkStart w:id="0" w:name="_GoBack"/>
            <w:bookmarkEnd w:id="0"/>
          </w:p>
        </w:tc>
        <w:tc>
          <w:tcPr>
            <w:tcW w:w="3392" w:type="dxa"/>
            <w:vAlign w:val="bottom"/>
          </w:tcPr>
          <w:p w14:paraId="370656D6" w14:textId="5EB08DF9" w:rsidR="007E2AF4" w:rsidRDefault="008A7F87" w:rsidP="001445D3">
            <w:pPr>
              <w:jc w:val="center"/>
            </w:pPr>
            <w:r>
              <w:t>_________________________</w:t>
            </w:r>
          </w:p>
        </w:tc>
      </w:tr>
      <w:tr w:rsidR="007E2AF4" w14:paraId="56AF7382" w14:textId="77777777" w:rsidTr="009670B1">
        <w:tc>
          <w:tcPr>
            <w:tcW w:w="5670" w:type="dxa"/>
          </w:tcPr>
          <w:p w14:paraId="30CE0ACD" w14:textId="77777777" w:rsidR="007E2AF4" w:rsidRDefault="007E2AF4" w:rsidP="001445D3">
            <w:pPr>
              <w:jc w:val="center"/>
            </w:pPr>
          </w:p>
        </w:tc>
        <w:tc>
          <w:tcPr>
            <w:tcW w:w="3392" w:type="dxa"/>
          </w:tcPr>
          <w:p w14:paraId="2E9BAA6C" w14:textId="77777777" w:rsidR="007E2AF4" w:rsidRDefault="00D44BB3" w:rsidP="001445D3">
            <w:pPr>
              <w:jc w:val="center"/>
            </w:pPr>
            <w:r>
              <w:t>MgA. Apolena Novotná</w:t>
            </w:r>
          </w:p>
          <w:p w14:paraId="6B8133DC" w14:textId="46DBBD30" w:rsidR="00D44BB3" w:rsidRDefault="00D44BB3" w:rsidP="001445D3">
            <w:pPr>
              <w:jc w:val="center"/>
            </w:pPr>
            <w:r>
              <w:t>Starostka obce</w:t>
            </w:r>
          </w:p>
        </w:tc>
      </w:tr>
    </w:tbl>
    <w:p w14:paraId="00FBF8AC" w14:textId="0034656B" w:rsidR="00EB702F" w:rsidRPr="00B377A6" w:rsidRDefault="00EB702F" w:rsidP="00F70B63"/>
    <w:sectPr w:rsidR="00EB702F" w:rsidRPr="00B37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76D88" w14:textId="77777777" w:rsidR="003862E7" w:rsidRDefault="003862E7" w:rsidP="00A22C19">
      <w:pPr>
        <w:spacing w:line="240" w:lineRule="auto"/>
      </w:pPr>
      <w:r>
        <w:separator/>
      </w:r>
    </w:p>
  </w:endnote>
  <w:endnote w:type="continuationSeparator" w:id="0">
    <w:p w14:paraId="02283C29" w14:textId="77777777" w:rsidR="003862E7" w:rsidRDefault="003862E7" w:rsidP="00A22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1676" w14:textId="07CE41CB" w:rsidR="00A22C19" w:rsidRDefault="00A22C19" w:rsidP="00A11BB0">
    <w:pPr>
      <w:pStyle w:val="Zpat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F3AB8">
      <w:rPr>
        <w:noProof/>
      </w:rPr>
      <w:t>2</w:t>
    </w:r>
    <w:r>
      <w:fldChar w:fldCharType="end"/>
    </w:r>
    <w:r>
      <w:t>/</w:t>
    </w:r>
    <w:r w:rsidR="00EF3AB8">
      <w:fldChar w:fldCharType="begin"/>
    </w:r>
    <w:r w:rsidR="00EF3AB8">
      <w:instrText xml:space="preserve"> NUMPAGES  \* Arabic  \* MERGEFORMAT </w:instrText>
    </w:r>
    <w:r w:rsidR="00EF3AB8">
      <w:fldChar w:fldCharType="separate"/>
    </w:r>
    <w:r w:rsidR="00EF3AB8">
      <w:rPr>
        <w:noProof/>
      </w:rPr>
      <w:t>2</w:t>
    </w:r>
    <w:r w:rsidR="00EF3A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269A0" w14:textId="77777777" w:rsidR="003862E7" w:rsidRDefault="003862E7" w:rsidP="00A22C19">
      <w:pPr>
        <w:spacing w:line="240" w:lineRule="auto"/>
      </w:pPr>
      <w:r>
        <w:separator/>
      </w:r>
    </w:p>
  </w:footnote>
  <w:footnote w:type="continuationSeparator" w:id="0">
    <w:p w14:paraId="3F5C6DDD" w14:textId="77777777" w:rsidR="003862E7" w:rsidRDefault="003862E7" w:rsidP="00A22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0F4"/>
    <w:multiLevelType w:val="hybridMultilevel"/>
    <w:tmpl w:val="7A28B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4BF3"/>
    <w:multiLevelType w:val="multilevel"/>
    <w:tmpl w:val="2EC8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160589F"/>
    <w:multiLevelType w:val="hybridMultilevel"/>
    <w:tmpl w:val="0E508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0"/>
    <w:rsid w:val="00023B72"/>
    <w:rsid w:val="00030D6F"/>
    <w:rsid w:val="00034783"/>
    <w:rsid w:val="00043639"/>
    <w:rsid w:val="00052E83"/>
    <w:rsid w:val="000807D6"/>
    <w:rsid w:val="00080A2B"/>
    <w:rsid w:val="0009236B"/>
    <w:rsid w:val="000C165C"/>
    <w:rsid w:val="000E6547"/>
    <w:rsid w:val="000F1680"/>
    <w:rsid w:val="00141753"/>
    <w:rsid w:val="001423FE"/>
    <w:rsid w:val="001445D3"/>
    <w:rsid w:val="00150792"/>
    <w:rsid w:val="0015184E"/>
    <w:rsid w:val="00165342"/>
    <w:rsid w:val="00165EDA"/>
    <w:rsid w:val="001777F4"/>
    <w:rsid w:val="001A383F"/>
    <w:rsid w:val="001D3F1C"/>
    <w:rsid w:val="001D5EAF"/>
    <w:rsid w:val="001F298C"/>
    <w:rsid w:val="0020661D"/>
    <w:rsid w:val="00211558"/>
    <w:rsid w:val="002214BA"/>
    <w:rsid w:val="00270C4A"/>
    <w:rsid w:val="00280164"/>
    <w:rsid w:val="00282C1E"/>
    <w:rsid w:val="002844B7"/>
    <w:rsid w:val="002A4E75"/>
    <w:rsid w:val="002B61C3"/>
    <w:rsid w:val="002B6FED"/>
    <w:rsid w:val="002F0970"/>
    <w:rsid w:val="002F5FAE"/>
    <w:rsid w:val="0031490A"/>
    <w:rsid w:val="00361AD5"/>
    <w:rsid w:val="00370B76"/>
    <w:rsid w:val="003862E7"/>
    <w:rsid w:val="003A2CFB"/>
    <w:rsid w:val="003D114C"/>
    <w:rsid w:val="003E3FD4"/>
    <w:rsid w:val="003E6C68"/>
    <w:rsid w:val="00416994"/>
    <w:rsid w:val="00425D4D"/>
    <w:rsid w:val="00435951"/>
    <w:rsid w:val="00451EFA"/>
    <w:rsid w:val="0046341D"/>
    <w:rsid w:val="00471D51"/>
    <w:rsid w:val="004A053A"/>
    <w:rsid w:val="004B52B5"/>
    <w:rsid w:val="004B7E17"/>
    <w:rsid w:val="004C144A"/>
    <w:rsid w:val="004F1A7C"/>
    <w:rsid w:val="00526240"/>
    <w:rsid w:val="00576AA7"/>
    <w:rsid w:val="0058035B"/>
    <w:rsid w:val="00590370"/>
    <w:rsid w:val="005B13B1"/>
    <w:rsid w:val="005D2707"/>
    <w:rsid w:val="005F25ED"/>
    <w:rsid w:val="005F441B"/>
    <w:rsid w:val="00647BA1"/>
    <w:rsid w:val="006515B3"/>
    <w:rsid w:val="00667CFE"/>
    <w:rsid w:val="006756DC"/>
    <w:rsid w:val="00684C77"/>
    <w:rsid w:val="006B1443"/>
    <w:rsid w:val="006B79F7"/>
    <w:rsid w:val="006E096A"/>
    <w:rsid w:val="006E1306"/>
    <w:rsid w:val="007122E8"/>
    <w:rsid w:val="007148F5"/>
    <w:rsid w:val="00736FF9"/>
    <w:rsid w:val="00752522"/>
    <w:rsid w:val="00774689"/>
    <w:rsid w:val="007A04ED"/>
    <w:rsid w:val="007B3E46"/>
    <w:rsid w:val="007B7123"/>
    <w:rsid w:val="007C05E9"/>
    <w:rsid w:val="007C1A0F"/>
    <w:rsid w:val="007E2AF4"/>
    <w:rsid w:val="007F60F0"/>
    <w:rsid w:val="007F7E69"/>
    <w:rsid w:val="008260CA"/>
    <w:rsid w:val="00846B13"/>
    <w:rsid w:val="00872DE7"/>
    <w:rsid w:val="008773F2"/>
    <w:rsid w:val="00892B89"/>
    <w:rsid w:val="008A3E03"/>
    <w:rsid w:val="008A7F87"/>
    <w:rsid w:val="008C1203"/>
    <w:rsid w:val="008C7A0E"/>
    <w:rsid w:val="008F0715"/>
    <w:rsid w:val="008F3473"/>
    <w:rsid w:val="0090050B"/>
    <w:rsid w:val="009235FD"/>
    <w:rsid w:val="00925057"/>
    <w:rsid w:val="00932494"/>
    <w:rsid w:val="00935FF2"/>
    <w:rsid w:val="009670B1"/>
    <w:rsid w:val="00972FF0"/>
    <w:rsid w:val="009758EC"/>
    <w:rsid w:val="00982242"/>
    <w:rsid w:val="00987A99"/>
    <w:rsid w:val="009B1AD7"/>
    <w:rsid w:val="009B7BD8"/>
    <w:rsid w:val="00A11BB0"/>
    <w:rsid w:val="00A17CCB"/>
    <w:rsid w:val="00A22C19"/>
    <w:rsid w:val="00A82A51"/>
    <w:rsid w:val="00A9285F"/>
    <w:rsid w:val="00AF4B86"/>
    <w:rsid w:val="00B02D6F"/>
    <w:rsid w:val="00B11CD6"/>
    <w:rsid w:val="00B34D7B"/>
    <w:rsid w:val="00B377A6"/>
    <w:rsid w:val="00B67EDB"/>
    <w:rsid w:val="00B86D62"/>
    <w:rsid w:val="00B9026D"/>
    <w:rsid w:val="00BD3E25"/>
    <w:rsid w:val="00BF1AD5"/>
    <w:rsid w:val="00C0268D"/>
    <w:rsid w:val="00C1366C"/>
    <w:rsid w:val="00C21663"/>
    <w:rsid w:val="00C47E9E"/>
    <w:rsid w:val="00C757DC"/>
    <w:rsid w:val="00C94974"/>
    <w:rsid w:val="00D10422"/>
    <w:rsid w:val="00D161C4"/>
    <w:rsid w:val="00D44BB3"/>
    <w:rsid w:val="00D90349"/>
    <w:rsid w:val="00D93975"/>
    <w:rsid w:val="00DE3C10"/>
    <w:rsid w:val="00E02784"/>
    <w:rsid w:val="00E151FF"/>
    <w:rsid w:val="00E2237B"/>
    <w:rsid w:val="00E24E7E"/>
    <w:rsid w:val="00E61C46"/>
    <w:rsid w:val="00E653F2"/>
    <w:rsid w:val="00E67CD2"/>
    <w:rsid w:val="00E70F56"/>
    <w:rsid w:val="00E9565F"/>
    <w:rsid w:val="00EB702F"/>
    <w:rsid w:val="00EC0653"/>
    <w:rsid w:val="00EF3AB8"/>
    <w:rsid w:val="00F36145"/>
    <w:rsid w:val="00F54ECA"/>
    <w:rsid w:val="00F56181"/>
    <w:rsid w:val="00F70B63"/>
    <w:rsid w:val="00F80C9F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2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7A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D6F"/>
    <w:pPr>
      <w:ind w:left="720"/>
      <w:contextualSpacing/>
    </w:pPr>
  </w:style>
  <w:style w:type="table" w:styleId="Mkatabulky">
    <w:name w:val="Table Grid"/>
    <w:basedOn w:val="Normlntabulka"/>
    <w:uiPriority w:val="39"/>
    <w:rsid w:val="007E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C1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C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7A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D6F"/>
    <w:pPr>
      <w:ind w:left="720"/>
      <w:contextualSpacing/>
    </w:pPr>
  </w:style>
  <w:style w:type="table" w:styleId="Mkatabulky">
    <w:name w:val="Table Grid"/>
    <w:basedOn w:val="Normlntabulka"/>
    <w:uiPriority w:val="39"/>
    <w:rsid w:val="007E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C1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C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Mlích</dc:creator>
  <cp:keywords/>
  <dc:description/>
  <cp:lastModifiedBy>Novotná</cp:lastModifiedBy>
  <cp:revision>3</cp:revision>
  <cp:lastPrinted>2020-05-11T13:19:00Z</cp:lastPrinted>
  <dcterms:created xsi:type="dcterms:W3CDTF">2020-05-11T12:19:00Z</dcterms:created>
  <dcterms:modified xsi:type="dcterms:W3CDTF">2020-05-11T13:21:00Z</dcterms:modified>
</cp:coreProperties>
</file>